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270</w:t>
      </w:r>
    </w:p>
    <w:p>
      <w:r>
        <w:t>Bundesgericht (BGE), 2004-04-05, DE</w:t>
      </w:r>
    </w:p>
    <w:p>
      <w:r>
        <w:rPr>
          <w:b/>
        </w:rPr>
        <w:t xml:space="preserve">Quelle: </w:t>
      </w:r>
      <w:r>
        <w:t>https://mcp.opencaselaw.ch/entscheid/bge_130 V 270</w:t>
      </w:r>
    </w:p>
    <w:p>
      <w:r>
        <w:t>FR: ATF 130 V 270</w:t>
      </w:r>
    </w:p>
    <w:p>
      <w:r>
        <w:t>IT: DTF 130 V 270</w:t>
      </w:r>
    </w:p>
    <w:p>
      <w:pPr>
        <w:pStyle w:val="Heading2"/>
      </w:pPr>
      <w:r>
        <w:t>Regeste</w:t>
      </w:r>
    </w:p>
    <w:p>
      <w:r>
        <w:t>Regeste Art. 23 BVG: Abgrenzung der Leistungspflicht zweier Vorsorgeeinrichtungen. Hat eine Vorsorgeeinrichtung ihre Leistungspflicht für eine aus einem bestimmten Gesundheitsschaden resultierende Arbeits- und Erwerbsunfähigkeit anerkannt und gestützt darauf eine (volle) BVG-Invalidenrente zugesprochen, bleibt für die Haftung eines früheren BVG-Versicherers für den nämlichen Gesundheitsschaden und daraus sich ergebende Arbeits- und Erwerbsunfähigkeiten in der Regel kein Raum (Erw. 3, 4; Präzisierung der Rechtsprechung).</w:t>
      </w:r>
    </w:p>
    <w:p>
      <w:pPr>
        <w:pStyle w:val="Heading2"/>
      </w:pPr>
      <w:r>
        <w:t>Erwägungen</w:t>
      </w:r>
    </w:p>
    <w:p>
      <w:r>
        <w:rPr>
          <w:b/>
        </w:rPr>
        <w:t>E. 1</w:t>
      </w:r>
    </w:p>
    <w:p>
      <w:r>
        <w:t>Die Beschwerdeführerin ist nach Lage der Akten unbestrittenerweise zu mehr als zwei Dritteln invalid, was ihr nach Art. 28 Abs. 1 IVG (in der bis 31. Dezember 2003 gültig gewesenen Fassung) Anrecht auf eine ganze Rente der Invalidenversicherung gibt und gemäss Art. 24 Abs. 1 BVG in Verbindung mit Art. 28 Abs. 1 IVG Anspruch auf eine volle BVG-Invalidenrente begründet. Strittig ist unter den Parteien die Frage, ob die Arbeitsunfähigkeit, welche dieser Invalidität zu Grunde liegt, in der Zeit zwischen 16. August 1989 und 15. September 1993 eingetreten ist, als die Beschwerdeführerin zufolge ihres Anstellungsverhältnisses beim Kanton Zürich und unter Beachtung der Nachdeckungsfrist gemäss Art. 10 Abs. 3 BVG bei der BVK vorsorgeversichert war. Das kantonale Gericht hat die für die Beurteilung dieser Frage massgeblichen Grundsätze gemäss der zu Art. 23 BVG ergangenen Rechtsprechung ( BGE 123 V 264 Erw. 1c mit Hinweisen) im angefochtenen Entscheid zutreffend dargelegt. Darauf wird verwiesen (vgl. auch BGE 120 V 117 f. Erw. 2c/aa und bb mit Hinweisen; SZS 2003 S. 507 und 509; Urteil M. vom 15. Juli 2003, B 40/01, Erw. 1 und 2). (...)</w:t>
      </w:r>
    </w:p>
    <w:p>
      <w:r>
        <w:rPr>
          <w:b/>
        </w:rPr>
        <w:t>E. 3.1</w:t>
      </w:r>
    </w:p>
    <w:p>
      <w:r>
        <w:t>Rechtsprechungsgemäss (zuletzt BGE 126 V 310 f. Erw. 1 in fine mit Hinweisen) sind die Vorsorgeeinrichtungen im Bereich der gesetzlichen Mindestvorsorge ( Art. 6 BVG ) an die Feststellungen der Organe der Invalidenversicherung, insbesondere hinsichtlich des Eintrittes der invalidisierenden Arbeitsunfähigkeit (Eröffnung der Wartezeit; Art. 29 Abs. 1 lit. b IVG in Verbindung mit Art. 26 Abs. 1 BVG ), gebunden, soweit die invalidenversicherungsrechtliche Betrachtungsweise auf Grund einer gesamthaften Prüfung der Akten nicht als offensichtlich unhaltbar erscheint. Hingegen entfällt eine Bindungswirkung, wenn die Vorsorgeeinrichtung nicht spätestens im Vorbescheidverfahren ( Art. 73 bis IVV in der vom 1. Juli 1987 bis 31. Dezember 2002 in Kraft gestandenen Fassung; AS 1987 456 und AS 2002 3721) und, nach dessen Ersetzung durch das Einspracheverfahren ab 1. Januar 2003, angelegentlich der Verfügungseröffnung in das BGE 130 V 270 S. 274 invalidenversicherungsrechtliche Verfahren einbezogen wird ( BGE 129 V 73 ). Hält sich die Vorsorgeeinrichtung demgegenüber im Rahmen des invalidenversicherungsrechtlich Verfügten, ja stützt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(Urteil F. vom 9. Februar 2004, B 39/03). Nachträglich geltend gemachte Tatsachen oder Beweismittel, welche im invalidenversicherungsrechtlichen Verfahren nicht von Amtes wegen hätten erhoben werden müssen, sind nur beachtlich, sofern sie von der Verwaltung oder bei damaligem Beschwerdeverfahren vom Gericht im Rahmen einer prozessualen Revision hätten berücksichtigt werden müssen ( BGE 126 V 311 Erw. 2a).</w:t>
      </w:r>
    </w:p>
    <w:p>
      <w:r>
        <w:rPr>
          <w:b/>
        </w:rPr>
        <w:t>E. 3.2</w:t>
      </w:r>
    </w:p>
    <w:p>
      <w:r>
        <w:t>Die beschwerdegegnerische BVK war, nach Lage der Akten, im Verfahren der Invalidenversicherung nicht involviert. Indem sie sich auf den Standpunkt stellt, dass die Arbeitsunfähigkeit, welche zur Invalidität führte, nicht in der Zeit zwischen 16. August 1989 und 15. September 1993 eingetreten und nicht sie, sondern die im Verfahren der Invalidenversicherung beteiligte städtische Versicherungskasse leistungspflichtig sei, stützt sie sich letztlich auf die Festlegungen im invalidenversicherungsrechtlichen Verfahren. Bei dieser Sachlage ist das Problem des Nichteinbezugs des in der Folge eingeklagten Vorsorgeversicherers ins Verfahren der Invalidenversicherung gegenstandslos (vgl. Erw. 3.1 hievor), und es ist von einem, vorbehältlich zweifelloser Unrichtigkeit, verbindlichen Entscheid der Invalidenversicherung auszugehen. Im hier zu beurteilenden Fall ist indes zu berücksichtigen, dass keine Anhaltspunkte für eine unverschuldet verspätete Anmeldung gemäss Art. 48 Abs. 2 in fine IVG (in der bis 31. Dezember 2002 gültig BGE 130 V 270 S. 275 gewesenen Fassung) aktenkundig sind. Die Organe der Invalidenversicherung hatten mithin keinen Grund, bei der Festsetzung des Rentenbeginns weiter als bis April 1997 (zwölf Monate vor Anmeldung zum Rentenbezug) zurückzugehen. Dies spricht, für sich allein besehen, dafür, den Eintritt der invalidisierenden Arbeitsunfähigkeit im hier stattfindenden berufsvorsorgerechtlichen Verfahren, im Ergebnis übereinstimmend mit der Vorinstanz, frei zu prüfen.</w:t>
      </w:r>
    </w:p>
    <w:p>
      <w:r>
        <w:rPr>
          <w:b/>
        </w:rPr>
        <w:t>E. 4</w:t>
      </w:r>
    </w:p>
    <w:p>
      <w:r>
        <w:t>Der Fall der Beschwerdeführerin zeichnet sich dadurch aus, dass die Pensionskasse Stadt Zürich eine Leistungspflicht anerkannt hat, indem sie der Beschwerdeführerin gemäss Leistungsausweis vom 1. Februar 1998 mit Wirkung ab 1. Dezember 1997 eine volle Invalidenrente (bei einem durchschnittlichen Beschäftigungsgrad von 46 %) zusprach, ohne dass dies nach Lage der Akten eine rechtliche Auseinandersetzung nach sich gezogen hätte. Die Vorsorgeeinrichtung der Stadt Zürich hat mithin über Jahre hinweg eine volle BVG-Invalidenrente ausgerichtet, ohne dass dies von einer Seite je beanstandet worden wäre. Erst im Mai 2002 wurde die Beschwerdeführerin mit ihren Ansprüchen bei der BVK vorstellig.</w:t>
      </w:r>
    </w:p>
    <w:p>
      <w:r>
        <w:rPr>
          <w:b/>
        </w:rPr>
        <w:t>E. 4.1</w:t>
      </w:r>
    </w:p>
    <w:p>
      <w:r>
        <w:t>Art. 23 BVG kommt, wie die Vorinstanz zutreffend darlegte, insbesondere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 hatte. 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123 V 264 Erw. 1c, BGE 120 V 117 f. Erw. 2c/aa und bb mit Hinweisen).</w:t>
      </w:r>
    </w:p>
    <w:p>
      <w:r>
        <w:rPr>
          <w:b/>
        </w:rPr>
        <w:t>E. 4.2</w:t>
      </w:r>
    </w:p>
    <w:p>
      <w:r>
        <w:t>Die Frage nach dem materiellen und vor allem temporalen Konnex stellt sich nun aber, insbesondere auch mit Blick auf den Grundsatz von Treu und Glauben, welcher staatliche Organe wie Private bindet ( Art. 5 Abs. 3 BV ), nicht in gleicher Weise, wenn BGE 130 V 270 S. 276 seither eine andere Vorsorgeeinrichtung ihre Leistungspflicht anerkannt und über Jahre hinweg Invalidenrenten erbracht hat, ohne dass dies, wie hier der Fall, jemals von einer der beiden beteiligten Parteien in irgend einer Weise in Frage gestellt worden wäre. Es besteht in einer solchen Situation erreichter Versicherungsdeckung nur bedingt Bedarf nach einer Kontrolle des Verlaufs der Arbeitsunfähigkeit zum Zwecke der Abgrenzung der Haftung mehrerer Vorsorgeeinrichtungen voneinander, wie gerade der hier zu beurteilende Fall zeigt. Das entsprechende Regelungsziel des Art. 23 BVG (Erw. 4.1 hievor) ist nämlich erreicht, seine erneute Anwendung insofern obsolet; dies vorbehältlich von Sachverhalten, in denen die Anerkennung der Leistungspflicht durch die letzte Vorsorgeeinrichtung als zweifellos unrichtig erscheint (vgl. BGE 127 V 469 Erw. 2c mit Hinweisen) oder eines auf Rückerstattung lautenden, durch die letzte Vorsorgeeinrichtung erstrittenen rechtskräftigen Gerichtsurteils, wonach deren Anerkennung der Leistungspflicht als unrechtmässig oder grundlos erfolgt (Zahlung einer Nichtschuld) zu qualifizieren ist.</w:t>
      </w:r>
    </w:p>
    <w:p>
      <w:r>
        <w:rPr>
          <w:b/>
        </w:rPr>
        <w:t>E. 4.3</w:t>
      </w:r>
    </w:p>
    <w:p>
      <w:r>
        <w:t>Nach Lage der Akten besteht zu Recht allseits Einigkeit darüber, dass die Beschwerdeführerin an einem invalidisierenden psychischen Gesundheitsschaden mit Krankheitswert leidet. Daran ändern Differenzen diagnostischer Art unter den beteiligten Spezialärzten psychiatrischer Fachrichtung nichts: Laut Bericht (vom 24. Juli 1998) des Dr. med. L., Spezialarzt FMH für Psychiatrie und Psychotherapie, findet sich eine ausgeprägte Persönlichkeitsstörung mit hauptsächlich selbstunsicherer und depressiver Ausprägung; die von Dr. med. B. in der Expertise vom 5. Februar 1998 gestellte Diagnose einer schizoaffektiven Mischpsychose liesse sich seiner Auffassung nach nicht erhärten. Indem die Pensionskasse Stadt Zürich ihre Leistungspflicht zufolge der psychisch begründeten Arbeits- und Erwerbsunfähigkeit anerkannte und sie hiefür eine volle Rente aus beruflicher Vorsorge zusprach, bleibt kein Raum für eine entsprechende Berechtigung gegenüber der BVK. Gestützt auf die Arbeitgeber- und Arztberichte ist zwar davon auszugehen, dass die psychischen Probleme der Beschwerdeführerin bis weit in die Vergangenheit zurückreichen. Daneben vermitteln die Prozessakten aber auch das Bild einer Person, die bestrebt war, ihr an konflikt- und krisenträchtigen Situationen reiches Leben in eigenverantwortlicher Weise zu meistern. Dabei spielte auch der Arbeitsumfang eine Rolle. So erklärte sie etwa BGE 130 V 270 S. 277 im Rahmen der psychiatrischen Begutachtung durch Dr. med. M. im Frühjahr 1993, sie rechne persönlich damit, bis zum Sommer 1993 wieder vollumfänglich arbeitsfähig zu sein; sie möchte indes künftig nurmehr zu 50 % erwerbstätig sein, weshalb sie bereits Vorkehren getroffen habe, um ihren Lebensunterhalt mit einem geringeren Lohn als bisher zu bestreiten. Vor dem Hintergrund dieser vielschichtigen, komplexen Lebensgeschichte fehlen eindeutige Belege dafür, dass die letztlich zur Invalidisierung führende psychische Gesundheitsschädigung sich seit Beendigung des Versicherungsverhältnisses mit der BVK durchgehend negativ auf das berufliche Fortkommen der Beschwerdeführerin ausgewirkt hätte. Etwas anderes ist weder bewiesen noch beweisbar, zumal aus der Zeit von Sommer 1993 bis 1995/96 datierende Arztberichte, namentlich solche psychiatrischer Fachrichtung, welche als Entscheidungsgrundlagen dienen könnten, nicht aktenkundig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